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1433B900"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w:t>
      </w:r>
      <w:r w:rsidR="00CB039C">
        <w:rPr>
          <w:rFonts w:cs="Arial" w:hint="eastAsia"/>
        </w:rPr>
        <w:t>7</w:t>
      </w:r>
      <w:r w:rsidRPr="00863065">
        <w:rPr>
          <w:rFonts w:cs="Arial"/>
        </w:rPr>
        <w:tab/>
        <w:t>R</w:t>
      </w:r>
      <w:r>
        <w:rPr>
          <w:rFonts w:cs="Arial" w:hint="eastAsia"/>
        </w:rPr>
        <w:t>2</w:t>
      </w:r>
      <w:r w:rsidRPr="00863065">
        <w:rPr>
          <w:rFonts w:cs="Arial"/>
        </w:rPr>
        <w:t>-</w:t>
      </w:r>
      <w:r>
        <w:rPr>
          <w:rFonts w:cs="Arial"/>
        </w:rPr>
        <w:t>2</w:t>
      </w:r>
      <w:r w:rsidR="00D40190">
        <w:rPr>
          <w:rFonts w:cs="Arial"/>
        </w:rPr>
        <w:t>4</w:t>
      </w:r>
      <w:r w:rsidR="00DB4A49">
        <w:rPr>
          <w:rFonts w:cs="Arial" w:hint="eastAsia"/>
        </w:rPr>
        <w:t>07207</w:t>
      </w:r>
    </w:p>
    <w:p w14:paraId="298061C1" w14:textId="446C0F0B" w:rsidR="005857F6" w:rsidRPr="00863065" w:rsidRDefault="00CB039C" w:rsidP="005857F6">
      <w:pPr>
        <w:pStyle w:val="a7"/>
        <w:tabs>
          <w:tab w:val="left" w:pos="709"/>
          <w:tab w:val="right" w:pos="9639"/>
        </w:tabs>
        <w:spacing w:after="0"/>
        <w:jc w:val="left"/>
        <w:rPr>
          <w:rFonts w:cs="Arial"/>
          <w:lang w:val="en-US"/>
        </w:rPr>
      </w:pPr>
      <w:r>
        <w:rPr>
          <w:rFonts w:cs="Arial" w:hint="eastAsia"/>
          <w:lang w:val="en-US"/>
        </w:rPr>
        <w:t>Maastricht</w:t>
      </w:r>
      <w:r w:rsidR="005857F6">
        <w:rPr>
          <w:rFonts w:cs="Arial"/>
          <w:lang w:val="en-US"/>
        </w:rPr>
        <w:t xml:space="preserve">, </w:t>
      </w:r>
      <w:r>
        <w:rPr>
          <w:rFonts w:cs="Arial" w:hint="eastAsia"/>
          <w:lang w:val="en-US"/>
        </w:rPr>
        <w:t>Netherlands</w:t>
      </w:r>
      <w:r w:rsidR="005857F6">
        <w:rPr>
          <w:rFonts w:cs="Arial"/>
          <w:lang w:val="en-US"/>
        </w:rPr>
        <w:t xml:space="preserve">, </w:t>
      </w:r>
      <w:r>
        <w:rPr>
          <w:rFonts w:cs="Arial" w:hint="eastAsia"/>
          <w:lang w:val="en-US"/>
        </w:rPr>
        <w:t>19</w:t>
      </w:r>
      <w:r w:rsidR="005857F6">
        <w:rPr>
          <w:rFonts w:cs="Arial" w:hint="eastAsia"/>
          <w:lang w:val="en-US"/>
        </w:rPr>
        <w:t xml:space="preserve"> </w:t>
      </w:r>
      <w:r w:rsidR="005857F6">
        <w:rPr>
          <w:rFonts w:cs="Arial"/>
          <w:lang w:val="en-US"/>
        </w:rPr>
        <w:t>–</w:t>
      </w:r>
      <w:r w:rsidR="005857F6">
        <w:rPr>
          <w:rFonts w:cs="Arial" w:hint="eastAsia"/>
          <w:lang w:val="en-US"/>
        </w:rPr>
        <w:t xml:space="preserve"> </w:t>
      </w:r>
      <w:r w:rsidR="00D40190">
        <w:rPr>
          <w:rFonts w:cs="Arial"/>
          <w:lang w:val="en-US"/>
        </w:rPr>
        <w:t>2</w:t>
      </w:r>
      <w:r>
        <w:rPr>
          <w:rFonts w:cs="Arial" w:hint="eastAsia"/>
          <w:lang w:val="en-US"/>
        </w:rPr>
        <w:t>3</w:t>
      </w:r>
      <w:r w:rsidR="00D40190">
        <w:rPr>
          <w:rFonts w:cs="Arial"/>
          <w:lang w:val="en-US"/>
        </w:rPr>
        <w:t xml:space="preserve"> </w:t>
      </w:r>
      <w:r>
        <w:rPr>
          <w:rFonts w:cs="Arial" w:hint="eastAsia"/>
          <w:lang w:val="en-US"/>
        </w:rPr>
        <w:t>August</w:t>
      </w:r>
      <w:r w:rsidR="005857F6" w:rsidRPr="00802E96">
        <w:rPr>
          <w:rFonts w:cs="Arial"/>
          <w:lang w:val="en-US"/>
        </w:rPr>
        <w:t xml:space="preserve"> 20</w:t>
      </w:r>
      <w:r w:rsidR="005857F6">
        <w:rPr>
          <w:rFonts w:cs="Arial"/>
          <w:lang w:val="en-US"/>
        </w:rPr>
        <w:t>2</w:t>
      </w:r>
      <w:r w:rsidR="00D40190">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46598090"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w:t>
      </w:r>
      <w:r w:rsidR="003A1971">
        <w:rPr>
          <w:rFonts w:cs="Arial" w:hint="eastAsia"/>
          <w:b/>
          <w:sz w:val="24"/>
        </w:rPr>
        <w:t xml:space="preserve">on </w:t>
      </w:r>
      <w:r w:rsidR="000B1366">
        <w:rPr>
          <w:rFonts w:cs="Arial" w:hint="eastAsia"/>
          <w:b/>
          <w:sz w:val="24"/>
        </w:rPr>
        <w:t>A-IoT random access procedure</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5A16CED5"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4F3F9D">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3CA162AD" w14:textId="27EAF28B" w:rsidR="003E2C2D" w:rsidRDefault="003E2C2D" w:rsidP="003E2C2D">
      <w:r>
        <w:rPr>
          <w:rFonts w:hint="eastAsia"/>
          <w:szCs w:val="22"/>
        </w:rPr>
        <w:t xml:space="preserve">In the last meeting, RAN2 reached following agreements which implies that RAN2 studies three types of A-IoT random access schemes, </w:t>
      </w:r>
      <w:r w:rsidRPr="003E2C2D">
        <w:rPr>
          <w:szCs w:val="22"/>
        </w:rPr>
        <w:t xml:space="preserve">4-step RA, 2-step CBRA, </w:t>
      </w:r>
      <w:r>
        <w:rPr>
          <w:rFonts w:hint="eastAsia"/>
          <w:szCs w:val="22"/>
        </w:rPr>
        <w:t>and</w:t>
      </w:r>
      <w:r w:rsidRPr="003E2C2D">
        <w:rPr>
          <w:szCs w:val="22"/>
        </w:rPr>
        <w:t xml:space="preserve"> contention-free access</w:t>
      </w:r>
      <w:r w:rsidR="00FE72DA">
        <w:rPr>
          <w:rFonts w:hint="eastAsia"/>
          <w:szCs w:val="22"/>
        </w:rPr>
        <w:t xml:space="preserve"> [1]</w:t>
      </w:r>
      <w:r>
        <w:rPr>
          <w:rFonts w:hint="eastAsia"/>
          <w:szCs w:val="22"/>
        </w:rPr>
        <w:t>.</w:t>
      </w:r>
    </w:p>
    <w:p w14:paraId="165358D2" w14:textId="77777777" w:rsidR="003E2C2D" w:rsidRPr="009E29FD" w:rsidRDefault="003E2C2D" w:rsidP="003E2C2D">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16833F31" w14:textId="77777777" w:rsidR="003E2C2D" w:rsidRPr="00BB4CCF" w:rsidRDefault="003E2C2D" w:rsidP="003E2C2D">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441BF88B" w14:textId="77777777" w:rsidR="003E2C2D" w:rsidRPr="00FB6970" w:rsidRDefault="003E2C2D" w:rsidP="003E2C2D">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001AB9C0" w14:textId="77777777" w:rsidR="003E2C2D" w:rsidRPr="00FB6970" w:rsidRDefault="003E2C2D" w:rsidP="003E2C2D">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1C54B8A5" w14:textId="77777777" w:rsidR="003E2C2D" w:rsidRDefault="003E2C2D" w:rsidP="003E2C2D">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The device considers the contention resolution as successful, if the Msg2 including the same random ID in Msg1 is received. RAN2 assumes the size of random ID in Msg1 should be sufficient for contention resolution purpose.</w:t>
      </w:r>
    </w:p>
    <w:p w14:paraId="793C46C4" w14:textId="77777777" w:rsidR="003E2C2D" w:rsidRPr="005341A1" w:rsidRDefault="003E2C2D" w:rsidP="003E2C2D">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1873B79B" w14:textId="77777777" w:rsidR="003E2C2D" w:rsidRPr="00FB6970" w:rsidRDefault="003E2C2D" w:rsidP="003E2C2D">
      <w:pPr>
        <w:pStyle w:val="Doc-text2"/>
        <w:pBdr>
          <w:top w:val="single" w:sz="4" w:space="1" w:color="auto"/>
          <w:left w:val="single" w:sz="4" w:space="4" w:color="auto"/>
          <w:bottom w:val="single" w:sz="4" w:space="1" w:color="auto"/>
          <w:right w:val="single" w:sz="4" w:space="4" w:color="auto"/>
        </w:pBdr>
        <w:tabs>
          <w:tab w:val="clear" w:pos="1622"/>
        </w:tabs>
        <w:ind w:left="1619" w:firstLine="0"/>
      </w:pPr>
      <w:r w:rsidRPr="00FB6970">
        <w:t>RAN2 will not use “Msg4” term for further discussion of the random access.</w:t>
      </w:r>
    </w:p>
    <w:p w14:paraId="2A576617" w14:textId="77777777" w:rsidR="003E2C2D" w:rsidRDefault="003E2C2D" w:rsidP="003E2C2D">
      <w:pPr>
        <w:pStyle w:val="Doc-text2"/>
      </w:pPr>
    </w:p>
    <w:p w14:paraId="75F43D58" w14:textId="77777777" w:rsidR="003E2C2D" w:rsidRPr="00FB6970" w:rsidRDefault="003E2C2D" w:rsidP="003E2C2D">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35E253A1" w14:textId="77777777" w:rsidR="003E2C2D" w:rsidRDefault="003E2C2D" w:rsidP="003E2C2D">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46AF084D" w14:textId="77777777" w:rsidR="003E2C2D" w:rsidRPr="00586D59" w:rsidRDefault="003E2C2D" w:rsidP="003E2C2D">
      <w:pPr>
        <w:pStyle w:val="ab"/>
        <w:numPr>
          <w:ilvl w:val="0"/>
          <w:numId w:val="9"/>
        </w:numPr>
        <w:pBdr>
          <w:top w:val="single" w:sz="4" w:space="1" w:color="auto"/>
          <w:left w:val="single" w:sz="4" w:space="4" w:color="auto"/>
          <w:bottom w:val="single" w:sz="4" w:space="1" w:color="auto"/>
          <w:right w:val="single" w:sz="4" w:space="4" w:color="auto"/>
        </w:pBdr>
        <w:spacing w:after="0"/>
        <w:ind w:leftChars="0"/>
        <w:rPr>
          <w:rFonts w:eastAsia="ＭＳ 明朝"/>
          <w:sz w:val="20"/>
          <w:szCs w:val="24"/>
        </w:rPr>
      </w:pPr>
      <w:r w:rsidRPr="00586D59">
        <w:rPr>
          <w:rFonts w:eastAsia="ＭＳ 明朝"/>
          <w:sz w:val="20"/>
          <w:szCs w:val="24"/>
        </w:rPr>
        <w:t>A-IoT Msg2: the reader</w:t>
      </w:r>
      <w:r>
        <w:rPr>
          <w:rFonts w:eastAsia="ＭＳ 明朝"/>
          <w:sz w:val="20"/>
          <w:szCs w:val="24"/>
        </w:rPr>
        <w:t xml:space="preserve"> may </w:t>
      </w:r>
      <w:r w:rsidRPr="00586D59">
        <w:rPr>
          <w:rFonts w:eastAsia="ＭＳ 明朝"/>
          <w:sz w:val="20"/>
          <w:szCs w:val="24"/>
        </w:rPr>
        <w:t xml:space="preserve">echo </w:t>
      </w:r>
      <w:r>
        <w:rPr>
          <w:rFonts w:eastAsia="ＭＳ 明朝"/>
          <w:sz w:val="20"/>
          <w:szCs w:val="24"/>
        </w:rPr>
        <w:t xml:space="preserve">some information from </w:t>
      </w:r>
      <w:r w:rsidRPr="00586D59">
        <w:rPr>
          <w:rFonts w:eastAsia="ＭＳ 明朝"/>
          <w:sz w:val="20"/>
          <w:szCs w:val="24"/>
        </w:rPr>
        <w:t>Msg1</w:t>
      </w:r>
      <w:r>
        <w:rPr>
          <w:rFonts w:eastAsia="ＭＳ 明朝"/>
          <w:sz w:val="20"/>
          <w:szCs w:val="24"/>
        </w:rPr>
        <w:t>.  FFS what some information is</w:t>
      </w:r>
      <w:r w:rsidRPr="00586D59">
        <w:rPr>
          <w:rFonts w:eastAsia="ＭＳ 明朝"/>
          <w:sz w:val="20"/>
          <w:szCs w:val="24"/>
        </w:rPr>
        <w:t xml:space="preserve">. </w:t>
      </w:r>
      <w:r>
        <w:rPr>
          <w:rFonts w:eastAsia="ＭＳ 明朝"/>
          <w:sz w:val="20"/>
          <w:szCs w:val="24"/>
        </w:rPr>
        <w:t xml:space="preserve"> </w:t>
      </w:r>
      <w:r w:rsidRPr="00FB6970">
        <w:t>“Msg</w:t>
      </w:r>
      <w:r>
        <w:t>2</w:t>
      </w:r>
      <w:r w:rsidRPr="00FB6970">
        <w:t>” usage/presence can be further discussed</w:t>
      </w:r>
    </w:p>
    <w:p w14:paraId="43DE5062" w14:textId="77777777" w:rsidR="003E2C2D" w:rsidRDefault="003E2C2D" w:rsidP="003E2C2D">
      <w:pPr>
        <w:pStyle w:val="Doc-text2"/>
      </w:pPr>
    </w:p>
    <w:p w14:paraId="42BE9458" w14:textId="77777777" w:rsidR="003E2C2D" w:rsidRPr="00B345C8" w:rsidRDefault="003E2C2D" w:rsidP="003E2C2D">
      <w:pPr>
        <w:pStyle w:val="Doc-text2"/>
        <w:pBdr>
          <w:top w:val="single" w:sz="4" w:space="1" w:color="auto"/>
          <w:left w:val="single" w:sz="4" w:space="4" w:color="auto"/>
          <w:bottom w:val="single" w:sz="4" w:space="1" w:color="auto"/>
          <w:right w:val="single" w:sz="4" w:space="4" w:color="auto"/>
        </w:pBdr>
        <w:rPr>
          <w:b/>
          <w:bCs/>
        </w:rPr>
      </w:pPr>
      <w:r w:rsidRPr="00B345C8">
        <w:rPr>
          <w:b/>
          <w:bCs/>
        </w:rPr>
        <w:t>Agreement</w:t>
      </w:r>
    </w:p>
    <w:p w14:paraId="244DDE85" w14:textId="77777777" w:rsidR="003E2C2D" w:rsidRDefault="003E2C2D" w:rsidP="003E2C2D">
      <w:pPr>
        <w:pStyle w:val="Doc-text2"/>
        <w:pBdr>
          <w:top w:val="single" w:sz="4" w:space="1" w:color="auto"/>
          <w:left w:val="single" w:sz="4" w:space="4" w:color="auto"/>
          <w:bottom w:val="single" w:sz="4" w:space="1" w:color="auto"/>
          <w:right w:val="single" w:sz="4" w:space="4" w:color="auto"/>
        </w:pBdr>
      </w:pPr>
      <w:r>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16438548" w14:textId="1C3DE44E" w:rsidR="007E2FC8" w:rsidRDefault="00485A0F" w:rsidP="007E2FC8">
      <w:pPr>
        <w:rPr>
          <w:szCs w:val="22"/>
        </w:rPr>
      </w:pPr>
      <w:r>
        <w:rPr>
          <w:rFonts w:hint="eastAsia"/>
          <w:szCs w:val="22"/>
        </w:rPr>
        <w:t>T</w:t>
      </w:r>
      <w:r>
        <w:rPr>
          <w:szCs w:val="22"/>
        </w:rPr>
        <w:t>his contribution is to discuss</w:t>
      </w:r>
      <w:r w:rsidR="003E2C2D">
        <w:rPr>
          <w:rFonts w:hint="eastAsia"/>
          <w:szCs w:val="22"/>
        </w:rPr>
        <w:t xml:space="preserve"> remaining issues on A-IoT random access.</w:t>
      </w:r>
    </w:p>
    <w:p w14:paraId="1C48F361" w14:textId="77777777" w:rsidR="003E2C2D" w:rsidRPr="00262F8E" w:rsidRDefault="003E2C2D" w:rsidP="007E2FC8">
      <w:pPr>
        <w:rPr>
          <w:szCs w:val="22"/>
        </w:rPr>
      </w:pPr>
    </w:p>
    <w:p w14:paraId="375CDE38" w14:textId="77777777" w:rsidR="007E2FC8" w:rsidRDefault="007E2FC8" w:rsidP="007E2FC8">
      <w:pPr>
        <w:pStyle w:val="2"/>
        <w:numPr>
          <w:ilvl w:val="0"/>
          <w:numId w:val="2"/>
        </w:numPr>
      </w:pPr>
      <w:r>
        <w:rPr>
          <w:rFonts w:hint="eastAsia"/>
        </w:rPr>
        <w:t>Discussion</w:t>
      </w:r>
    </w:p>
    <w:p w14:paraId="1CA91D59" w14:textId="4FBAF474" w:rsidR="00F50E71" w:rsidRDefault="00344C2D" w:rsidP="007E2FC8">
      <w:pPr>
        <w:pStyle w:val="2"/>
        <w:numPr>
          <w:ilvl w:val="1"/>
          <w:numId w:val="2"/>
        </w:numPr>
        <w:rPr>
          <w:rFonts w:cs="Arial"/>
        </w:rPr>
      </w:pPr>
      <w:r>
        <w:rPr>
          <w:rFonts w:cs="Arial" w:hint="eastAsia"/>
        </w:rPr>
        <w:t>Random ID in A-IoT Msg1 for 4-step RA</w:t>
      </w:r>
    </w:p>
    <w:p w14:paraId="652DC3D7" w14:textId="08607AF1" w:rsidR="00121480" w:rsidRDefault="003E2C2D" w:rsidP="00121480">
      <w:r>
        <w:rPr>
          <w:rFonts w:hint="eastAsia"/>
        </w:rPr>
        <w:t xml:space="preserve">RAN2 made an agreement that the Ambient IoT device generates a random ID to be sent in A-IoT Msg1 for </w:t>
      </w:r>
      <w:r w:rsidR="00FE72DA">
        <w:rPr>
          <w:rFonts w:hint="eastAsia"/>
        </w:rPr>
        <w:t>4-step RA [1].</w:t>
      </w:r>
    </w:p>
    <w:p w14:paraId="27BEFCCD" w14:textId="77777777" w:rsidR="00121480" w:rsidRPr="009E29FD" w:rsidRDefault="00121480" w:rsidP="00121480">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64F51B50" w14:textId="77777777" w:rsidR="00121480" w:rsidRDefault="00121480" w:rsidP="00121480">
      <w:pPr>
        <w:pStyle w:val="Doc-text2"/>
        <w:numPr>
          <w:ilvl w:val="0"/>
          <w:numId w:val="8"/>
        </w:numPr>
        <w:pBdr>
          <w:top w:val="single" w:sz="4" w:space="1" w:color="auto"/>
          <w:left w:val="single" w:sz="4" w:space="4" w:color="auto"/>
          <w:bottom w:val="single" w:sz="4" w:space="1" w:color="auto"/>
          <w:right w:val="single" w:sz="4" w:space="4" w:color="auto"/>
        </w:pBdr>
        <w:rPr>
          <w:rFonts w:eastAsiaTheme="minorEastAsia"/>
        </w:rPr>
      </w:pPr>
      <w:r w:rsidRPr="00BB4CCF">
        <w:t xml:space="preserve">A-IoT </w:t>
      </w:r>
      <w:r w:rsidRPr="00BB4CCF">
        <w:rPr>
          <w:rFonts w:hint="eastAsia"/>
        </w:rPr>
        <w:t>M</w:t>
      </w:r>
      <w:r w:rsidRPr="00BB4CCF">
        <w:t>sg1: the device sends an ID to the reader.  ID is a random ID generated by device (</w:t>
      </w:r>
      <w:r w:rsidRPr="00131230">
        <w:rPr>
          <w:highlight w:val="cyan"/>
        </w:rPr>
        <w:t>FFS how it is generated, e.g. randomly generated or generated based on Device ID</w:t>
      </w:r>
      <w:r w:rsidRPr="00BB4CCF">
        <w:t>).  FFS on ID size</w:t>
      </w:r>
      <w:r>
        <w:t>.  This doesn’t preclude any other RAN1 agreed information</w:t>
      </w:r>
    </w:p>
    <w:p w14:paraId="2A25B9E9" w14:textId="77777777" w:rsidR="00121480" w:rsidRPr="00131230" w:rsidRDefault="00121480" w:rsidP="00121480">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hint="eastAsia"/>
        </w:rPr>
        <w:t>(omit)</w:t>
      </w:r>
    </w:p>
    <w:p w14:paraId="083C4FE5" w14:textId="648C8735" w:rsidR="00131230" w:rsidRPr="00131230" w:rsidRDefault="00FE72DA" w:rsidP="00121480">
      <w:pPr>
        <w:rPr>
          <w:rFonts w:eastAsiaTheme="minorEastAsia"/>
        </w:rPr>
      </w:pPr>
      <w:r>
        <w:rPr>
          <w:rFonts w:hint="eastAsia"/>
        </w:rPr>
        <w:lastRenderedPageBreak/>
        <w:t>The transmitted random ID is echoed by the Ambient IoT reader within consequent A-IoT Msg2 if contention is successfully resolved, and then the device can be aware of successful contention resolution if the device receives an A-IoT Msg2 with the random ID that the device has generated.</w:t>
      </w:r>
      <w:r w:rsidR="0084055F">
        <w:rPr>
          <w:rFonts w:hint="eastAsia"/>
        </w:rPr>
        <w:t xml:space="preserve"> Therefore, there is a possibility of contention of random ID between different devices, on top of </w:t>
      </w:r>
      <w:r w:rsidR="0084055F">
        <w:t>possibility</w:t>
      </w:r>
      <w:r w:rsidR="0084055F">
        <w:rPr>
          <w:rFonts w:hint="eastAsia"/>
        </w:rPr>
        <w:t xml:space="preserve"> of contention of random access resource. If more</w:t>
      </w:r>
      <w:r w:rsidR="00BA4097">
        <w:rPr>
          <w:rFonts w:hint="eastAsia"/>
        </w:rPr>
        <w:t>-</w:t>
      </w:r>
      <w:r w:rsidR="0084055F">
        <w:rPr>
          <w:rFonts w:hint="eastAsia"/>
        </w:rPr>
        <w:t>than</w:t>
      </w:r>
      <w:r w:rsidR="00BA4097">
        <w:rPr>
          <w:rFonts w:hint="eastAsia"/>
        </w:rPr>
        <w:t>-</w:t>
      </w:r>
      <w:r w:rsidR="0084055F">
        <w:rPr>
          <w:rFonts w:hint="eastAsia"/>
        </w:rPr>
        <w:t xml:space="preserve">one devices transmit the same random ID, these devices would transmit D2R signallings at the same time even if </w:t>
      </w:r>
      <w:r w:rsidR="00BA4097">
        <w:rPr>
          <w:rFonts w:hint="eastAsia"/>
        </w:rPr>
        <w:t>contention resolution is successfully done.</w:t>
      </w:r>
    </w:p>
    <w:p w14:paraId="351EF8FA" w14:textId="2ADD5707" w:rsidR="00131230" w:rsidRDefault="00FE72DA" w:rsidP="00F50E71">
      <w:r>
        <w:rPr>
          <w:rFonts w:hint="eastAsia"/>
        </w:rPr>
        <w:t>Note that how the device generates the random ID in A-IoT Msg1 is still FFS</w:t>
      </w:r>
      <w:r w:rsidR="009B2C7C">
        <w:rPr>
          <w:rFonts w:hint="eastAsia"/>
        </w:rPr>
        <w:t xml:space="preserve"> as highlighted in blue</w:t>
      </w:r>
      <w:r>
        <w:rPr>
          <w:rFonts w:hint="eastAsia"/>
        </w:rPr>
        <w:t>. Two candidate solutions are provided; randomly generated or generated based on Device ID. We provide our view on the FFS in this section.</w:t>
      </w:r>
    </w:p>
    <w:p w14:paraId="013CB356" w14:textId="4C460661" w:rsidR="00FE72DA" w:rsidRDefault="00FE72DA" w:rsidP="00F50E71">
      <w:r>
        <w:rPr>
          <w:rFonts w:hint="eastAsia"/>
        </w:rPr>
        <w:t xml:space="preserve">Device ID is a permanent identifier allocated to all Ambient IoT Devices. </w:t>
      </w:r>
      <w:r w:rsidR="0084055F">
        <w:rPr>
          <w:rFonts w:hint="eastAsia"/>
        </w:rPr>
        <w:t>We understand that the uniqueness of Device ID is the biggest motivation to use Device ID as a basis of random ID in A-IoT Msg1 since Device ID itself never collides to other Device IDs in any case.</w:t>
      </w:r>
    </w:p>
    <w:p w14:paraId="6E9EF050" w14:textId="4F936C28" w:rsidR="0084055F" w:rsidRPr="0084055F" w:rsidRDefault="0084055F" w:rsidP="0084055F">
      <w:r>
        <w:rPr>
          <w:rFonts w:hint="eastAsia"/>
        </w:rPr>
        <w:t>However, RAN2 already made following agreement in yellow at the same time [1].</w:t>
      </w:r>
      <w:r w:rsidR="00BA4097">
        <w:rPr>
          <w:rFonts w:hint="eastAsia"/>
        </w:rPr>
        <w:t xml:space="preserve"> We understand this agreement means that </w:t>
      </w:r>
      <w:r w:rsidR="00BA4097" w:rsidRPr="00BA4097">
        <w:t>RAN2 already assumes that the size of random ID in A-IoT Msg1 is large enough</w:t>
      </w:r>
      <w:r w:rsidR="00BA4097">
        <w:rPr>
          <w:rFonts w:hint="eastAsia"/>
        </w:rPr>
        <w:t xml:space="preserve"> to ignore the possibility of contention of random ID.</w:t>
      </w:r>
    </w:p>
    <w:p w14:paraId="62761BE2" w14:textId="77777777" w:rsidR="0084055F" w:rsidRPr="009E29FD" w:rsidRDefault="0084055F" w:rsidP="0084055F">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562D8B52" w14:textId="3C108E69" w:rsidR="0084055F" w:rsidRPr="0084055F" w:rsidRDefault="0084055F" w:rsidP="0084055F">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hint="eastAsia"/>
        </w:rPr>
        <w:t>(omit)</w:t>
      </w:r>
    </w:p>
    <w:p w14:paraId="69B749F2" w14:textId="623414D4" w:rsidR="0084055F" w:rsidRPr="0084055F" w:rsidRDefault="0084055F" w:rsidP="0084055F">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 xml:space="preserve">The device considers the contention resolution as successful, if the Msg2 including the same random ID in Msg1 is received. </w:t>
      </w:r>
      <w:r w:rsidRPr="0084055F">
        <w:rPr>
          <w:highlight w:val="yellow"/>
        </w:rPr>
        <w:t>RAN2 assumes the size of random ID in Msg1 should be sufficient for contention resolution purpose.</w:t>
      </w:r>
    </w:p>
    <w:p w14:paraId="174A5185" w14:textId="0F53F4D0" w:rsidR="0084055F" w:rsidRDefault="0084055F" w:rsidP="0084055F">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r>
        <w:rPr>
          <w:rFonts w:eastAsiaTheme="minorEastAsia" w:hint="eastAsia"/>
        </w:rPr>
        <w:t>(omit)</w:t>
      </w:r>
    </w:p>
    <w:p w14:paraId="3953E67A" w14:textId="77777777" w:rsidR="00B4764D" w:rsidRDefault="00B4764D" w:rsidP="00B4764D">
      <w:pPr>
        <w:pStyle w:val="ObservationandProposal"/>
      </w:pPr>
      <w:r>
        <w:rPr>
          <w:rFonts w:hint="eastAsia"/>
        </w:rPr>
        <w:t>Observation 1.</w:t>
      </w:r>
      <w:r>
        <w:tab/>
      </w:r>
      <w:r>
        <w:rPr>
          <w:rFonts w:hint="eastAsia"/>
        </w:rPr>
        <w:t>RAN2 already assumes that the size of random ID in A-IoT Msg1 is large enough for contention resolution purpose, which implies no more enhancement to ensure not to collide random ID between different devices is needed.</w:t>
      </w:r>
    </w:p>
    <w:p w14:paraId="22017EAF" w14:textId="773739C3" w:rsidR="004B2329" w:rsidRDefault="00BA4097" w:rsidP="00F50E71">
      <w:r>
        <w:rPr>
          <w:rFonts w:hint="eastAsia"/>
        </w:rPr>
        <w:t xml:space="preserve">On top of that, since the Device ID is a permanent parameter, it is not acceptable to transmit Device ID in unprotected messages e.g., in A-IoT Msg1. In our understanding this is the reason why RAN2 did not agree to transmit Device ID itself in Msg1 but agreed to transmit a random ID instead. Indeed the candidate solution is saying that the Device ID is used </w:t>
      </w:r>
      <w:r w:rsidR="00684F66">
        <w:rPr>
          <w:rFonts w:hint="eastAsia"/>
        </w:rPr>
        <w:t xml:space="preserve">just </w:t>
      </w:r>
      <w:r>
        <w:rPr>
          <w:rFonts w:hint="eastAsia"/>
        </w:rPr>
        <w:t>as a basis for generating random ID, but</w:t>
      </w:r>
      <w:r w:rsidR="004B2329">
        <w:rPr>
          <w:rFonts w:hint="eastAsia"/>
        </w:rPr>
        <w:t xml:space="preserve"> we think</w:t>
      </w:r>
      <w:r>
        <w:rPr>
          <w:rFonts w:hint="eastAsia"/>
        </w:rPr>
        <w:t xml:space="preserve"> this direction will end up a long discussion in RAN2 how to ensure that the Device ID cannot be </w:t>
      </w:r>
      <w:r>
        <w:t>derived</w:t>
      </w:r>
      <w:r>
        <w:rPr>
          <w:rFonts w:hint="eastAsia"/>
        </w:rPr>
        <w:t xml:space="preserve"> from the random ID and </w:t>
      </w:r>
      <w:r w:rsidR="004B2329">
        <w:rPr>
          <w:rFonts w:hint="eastAsia"/>
        </w:rPr>
        <w:t xml:space="preserve">how to </w:t>
      </w:r>
      <w:r>
        <w:rPr>
          <w:rFonts w:hint="eastAsia"/>
        </w:rPr>
        <w:t xml:space="preserve">ensure the uniqueness of the random ID at the same time (moreover, SA3 has to be involved </w:t>
      </w:r>
      <w:r w:rsidR="004B2329">
        <w:rPr>
          <w:rFonts w:hint="eastAsia"/>
        </w:rPr>
        <w:t>since this is security aspect</w:t>
      </w:r>
      <w:r>
        <w:rPr>
          <w:rFonts w:hint="eastAsia"/>
        </w:rPr>
        <w:t>)</w:t>
      </w:r>
      <w:r w:rsidR="004B2329">
        <w:rPr>
          <w:rFonts w:hint="eastAsia"/>
        </w:rPr>
        <w:t>. We do not think such a discussion is needed</w:t>
      </w:r>
      <w:r w:rsidR="000E691F">
        <w:rPr>
          <w:rFonts w:hint="eastAsia"/>
        </w:rPr>
        <w:t xml:space="preserve"> because</w:t>
      </w:r>
      <w:r w:rsidR="004B2329">
        <w:rPr>
          <w:rFonts w:hint="eastAsia"/>
        </w:rPr>
        <w:t xml:space="preserve"> the generation of random ID can be left to device implementation.</w:t>
      </w:r>
    </w:p>
    <w:p w14:paraId="61D81226" w14:textId="3BEFE17F" w:rsidR="00B4764D" w:rsidRDefault="00B4764D" w:rsidP="00F44DE3">
      <w:pPr>
        <w:pStyle w:val="ObservationandProposal"/>
      </w:pPr>
      <w:r>
        <w:rPr>
          <w:rFonts w:hint="eastAsia"/>
        </w:rPr>
        <w:t>Observation 2.</w:t>
      </w:r>
      <w:r>
        <w:tab/>
      </w:r>
      <w:r>
        <w:rPr>
          <w:rFonts w:hint="eastAsia"/>
        </w:rPr>
        <w:t>Device ID is not agreed to be sent in A-IoT Msg1 since it causes a security issue to transmit a permanent device ID in an unprotected message.</w:t>
      </w:r>
    </w:p>
    <w:p w14:paraId="171E61B1" w14:textId="34ABAB17" w:rsidR="00B6475F" w:rsidRDefault="00B6475F" w:rsidP="00131230">
      <w:pPr>
        <w:pStyle w:val="ObservationandProposal"/>
      </w:pPr>
      <w:r>
        <w:rPr>
          <w:rFonts w:hint="eastAsia"/>
        </w:rPr>
        <w:t>Proposal 1.</w:t>
      </w:r>
      <w:r>
        <w:tab/>
      </w:r>
      <w:r w:rsidR="00131230">
        <w:rPr>
          <w:rFonts w:hint="eastAsia"/>
        </w:rPr>
        <w:t>How to generate random ID to be sent in A-IoT Msg1 for 4-step RA is up to device implementation.</w:t>
      </w:r>
    </w:p>
    <w:p w14:paraId="618215FD" w14:textId="77777777" w:rsidR="00B6475F" w:rsidRDefault="00B6475F" w:rsidP="00F50E71"/>
    <w:p w14:paraId="0A3B2421" w14:textId="004C5D42" w:rsidR="00344C2D" w:rsidRDefault="00344C2D" w:rsidP="006214AE">
      <w:pPr>
        <w:pStyle w:val="2"/>
        <w:numPr>
          <w:ilvl w:val="1"/>
          <w:numId w:val="2"/>
        </w:numPr>
      </w:pPr>
      <w:r w:rsidRPr="00344C2D">
        <w:rPr>
          <w:rFonts w:cs="Arial" w:hint="eastAsia"/>
        </w:rPr>
        <w:t>A-IoT Msg2 for 2-step CBRA</w:t>
      </w:r>
    </w:p>
    <w:p w14:paraId="3E9BA44A" w14:textId="3CC638F2" w:rsidR="00F44DE3" w:rsidRDefault="00911F16" w:rsidP="00F50E71">
      <w:r>
        <w:rPr>
          <w:rFonts w:hint="eastAsia"/>
        </w:rPr>
        <w:t>RAN2 made a following agreement in the last meeting [1].</w:t>
      </w:r>
      <w:r w:rsidR="007502D2">
        <w:rPr>
          <w:rFonts w:hint="eastAsia"/>
        </w:rPr>
        <w:t xml:space="preserve"> As highlighted in blue, the R2D message after reception of A-IoT Msg1 is regarded as A-IoT Msg2 but its purpose and even presence are FFS.</w:t>
      </w:r>
    </w:p>
    <w:p w14:paraId="12CB23EA" w14:textId="77777777" w:rsidR="00B77D74" w:rsidRPr="00FB6970" w:rsidRDefault="00B77D74" w:rsidP="00B77D74">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162D7305" w14:textId="77777777" w:rsidR="00B77D74" w:rsidRDefault="00B77D74" w:rsidP="00B77D74">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68A24455" w14:textId="77777777" w:rsidR="00B77D74" w:rsidRPr="00B77D74" w:rsidRDefault="00B77D74" w:rsidP="00B77D74">
      <w:pPr>
        <w:pStyle w:val="ab"/>
        <w:numPr>
          <w:ilvl w:val="0"/>
          <w:numId w:val="9"/>
        </w:numPr>
        <w:pBdr>
          <w:top w:val="single" w:sz="4" w:space="1" w:color="auto"/>
          <w:left w:val="single" w:sz="4" w:space="4" w:color="auto"/>
          <w:bottom w:val="single" w:sz="4" w:space="1" w:color="auto"/>
          <w:right w:val="single" w:sz="4" w:space="4" w:color="auto"/>
        </w:pBdr>
        <w:spacing w:after="0"/>
        <w:ind w:leftChars="0"/>
        <w:rPr>
          <w:rFonts w:eastAsia="ＭＳ 明朝"/>
          <w:sz w:val="20"/>
          <w:szCs w:val="24"/>
          <w:highlight w:val="cyan"/>
        </w:rPr>
      </w:pPr>
      <w:r w:rsidRPr="00B77D74">
        <w:rPr>
          <w:rFonts w:eastAsia="ＭＳ 明朝"/>
          <w:sz w:val="20"/>
          <w:szCs w:val="24"/>
          <w:highlight w:val="cyan"/>
        </w:rPr>
        <w:t xml:space="preserve">A-IoT Msg2: the reader may echo some information from Msg1.  FFS what some information is.  </w:t>
      </w:r>
      <w:r w:rsidRPr="00B77D74">
        <w:rPr>
          <w:highlight w:val="cyan"/>
        </w:rPr>
        <w:t>“Msg2” usage/presence can be further discussed</w:t>
      </w:r>
    </w:p>
    <w:p w14:paraId="3BFB5CC1" w14:textId="574D99DC" w:rsidR="00B77D74" w:rsidRDefault="00344C2D" w:rsidP="00F50E71">
      <w:r>
        <w:rPr>
          <w:rFonts w:hint="eastAsia"/>
        </w:rPr>
        <w:t>In this section we would like to raise a case where A-IoT Msg2 is needed.</w:t>
      </w:r>
    </w:p>
    <w:p w14:paraId="3807912A" w14:textId="79AA9C6D" w:rsidR="000350DB" w:rsidRDefault="000350DB" w:rsidP="00F50E71">
      <w:r>
        <w:rPr>
          <w:rFonts w:hint="eastAsia"/>
        </w:rPr>
        <w:lastRenderedPageBreak/>
        <w:t xml:space="preserve">Given the situation </w:t>
      </w:r>
      <w:r w:rsidR="00644543">
        <w:rPr>
          <w:rFonts w:hint="eastAsia"/>
        </w:rPr>
        <w:t xml:space="preserve">as depicted in Figure 1, </w:t>
      </w:r>
      <w:r>
        <w:rPr>
          <w:rFonts w:hint="eastAsia"/>
        </w:rPr>
        <w:t>where a write command is sent in A-IoT paging message to an Ambient IoT device as per indication from the CN.</w:t>
      </w:r>
      <w:r w:rsidR="00C97812">
        <w:rPr>
          <w:rFonts w:hint="eastAsia"/>
        </w:rPr>
        <w:t xml:space="preserve"> When the device successfully receives the message, the device would execute the write command and send back a response message toward the CN in Msg1.</w:t>
      </w:r>
    </w:p>
    <w:p w14:paraId="48D8E8EB" w14:textId="792C5770" w:rsidR="00344C2D" w:rsidRDefault="00644543" w:rsidP="00F50E71">
      <w:r>
        <w:rPr>
          <w:noProof/>
        </w:rPr>
        <w:drawing>
          <wp:inline distT="0" distB="0" distL="0" distR="0" wp14:anchorId="077A1B2D" wp14:editId="1B27DACE">
            <wp:extent cx="6118860" cy="1967495"/>
            <wp:effectExtent l="0" t="0" r="0" b="0"/>
            <wp:docPr id="123869186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5877" cy="1972967"/>
                    </a:xfrm>
                    <a:prstGeom prst="rect">
                      <a:avLst/>
                    </a:prstGeom>
                    <a:noFill/>
                    <a:ln>
                      <a:noFill/>
                    </a:ln>
                  </pic:spPr>
                </pic:pic>
              </a:graphicData>
            </a:graphic>
          </wp:inline>
        </w:drawing>
      </w:r>
    </w:p>
    <w:p w14:paraId="7DAF5FDE" w14:textId="244FE4C2" w:rsidR="00644543" w:rsidRPr="00644543" w:rsidRDefault="00644543" w:rsidP="00644543">
      <w:pPr>
        <w:jc w:val="center"/>
        <w:rPr>
          <w:b/>
          <w:bCs/>
        </w:rPr>
      </w:pPr>
      <w:r w:rsidRPr="00644543">
        <w:rPr>
          <w:rFonts w:hint="eastAsia"/>
          <w:b/>
          <w:bCs/>
        </w:rPr>
        <w:t>Figure 1. Cause of potential misunderstanding of device</w:t>
      </w:r>
      <w:r w:rsidRPr="00644543">
        <w:rPr>
          <w:b/>
          <w:bCs/>
        </w:rPr>
        <w:t>’</w:t>
      </w:r>
      <w:r w:rsidRPr="00644543">
        <w:rPr>
          <w:rFonts w:hint="eastAsia"/>
          <w:b/>
          <w:bCs/>
        </w:rPr>
        <w:t>s memory contents</w:t>
      </w:r>
      <w:r>
        <w:rPr>
          <w:rFonts w:hint="eastAsia"/>
          <w:b/>
          <w:bCs/>
        </w:rPr>
        <w:t>.</w:t>
      </w:r>
    </w:p>
    <w:p w14:paraId="6E8350F1" w14:textId="088BFE81" w:rsidR="00344C2D" w:rsidRDefault="00C97812" w:rsidP="00F50E71">
      <w:r>
        <w:rPr>
          <w:rFonts w:hint="eastAsia"/>
        </w:rPr>
        <w:t>However, a D2R message like Msg1 is more likely to be lost because backscattering signal tends to be transmitted with lower power than R2D signals. Consequently, sometimes the Ambient IoT reader cannot find Msg2 thus cannot forward the command response message sent by the device. In this case, from device point of view the write command is successfully executed and the memory is already overwritten, on the other hand from the CN point of view the command is failed and it is unclear whether the command is executed by the device. This may lead to misunderstanding of device</w:t>
      </w:r>
      <w:r>
        <w:t>’</w:t>
      </w:r>
      <w:r>
        <w:rPr>
          <w:rFonts w:hint="eastAsia"/>
        </w:rPr>
        <w:t>s memory contents that affects application layer.</w:t>
      </w:r>
    </w:p>
    <w:p w14:paraId="4C9DA64D" w14:textId="1E3F130F" w:rsidR="00644543" w:rsidRDefault="00644543" w:rsidP="00644543">
      <w:pPr>
        <w:pStyle w:val="ObservationandProposal"/>
      </w:pPr>
      <w:r>
        <w:rPr>
          <w:rFonts w:hint="eastAsia"/>
        </w:rPr>
        <w:t xml:space="preserve">Observation </w:t>
      </w:r>
      <w:r w:rsidR="00B4764D">
        <w:rPr>
          <w:rFonts w:hint="eastAsia"/>
        </w:rPr>
        <w:t>3</w:t>
      </w:r>
      <w:r>
        <w:rPr>
          <w:rFonts w:hint="eastAsia"/>
        </w:rPr>
        <w:t>.</w:t>
      </w:r>
      <w:r>
        <w:tab/>
      </w:r>
      <w:r>
        <w:rPr>
          <w:rFonts w:hint="eastAsia"/>
        </w:rPr>
        <w:t>When write command is indicated in A-IoT paging message, the possibility that the CN ends up failing to receive a response message from the device is not negligible due to weaker power of D2R backscattering transmission.</w:t>
      </w:r>
    </w:p>
    <w:p w14:paraId="0B6569EF" w14:textId="24C0EEA7" w:rsidR="00644543" w:rsidRDefault="00644543" w:rsidP="00644543">
      <w:pPr>
        <w:pStyle w:val="ObservationandProposal"/>
      </w:pPr>
      <w:r>
        <w:rPr>
          <w:rFonts w:hint="eastAsia"/>
        </w:rPr>
        <w:t xml:space="preserve">Observation </w:t>
      </w:r>
      <w:r w:rsidR="00B4764D">
        <w:rPr>
          <w:rFonts w:hint="eastAsia"/>
        </w:rPr>
        <w:t>4</w:t>
      </w:r>
      <w:r>
        <w:rPr>
          <w:rFonts w:hint="eastAsia"/>
        </w:rPr>
        <w:t>.</w:t>
      </w:r>
      <w:r>
        <w:tab/>
      </w:r>
      <w:r>
        <w:rPr>
          <w:rFonts w:hint="eastAsia"/>
        </w:rPr>
        <w:t xml:space="preserve">When the CN does not receive write command </w:t>
      </w:r>
      <w:r>
        <w:t>respons</w:t>
      </w:r>
      <w:r>
        <w:rPr>
          <w:rFonts w:hint="eastAsia"/>
        </w:rPr>
        <w:t>e from Ambient IoT device while the device completes write command, the misunderstanding appears which may affect application layer.</w:t>
      </w:r>
    </w:p>
    <w:p w14:paraId="0083F146" w14:textId="2B8DBB65" w:rsidR="00C97812" w:rsidRDefault="00C97812" w:rsidP="00F50E71">
      <w:r>
        <w:rPr>
          <w:rFonts w:hint="eastAsia"/>
        </w:rPr>
        <w:t xml:space="preserve">One possible solution is to introduce </w:t>
      </w:r>
      <w:r w:rsidR="00B4764D">
        <w:rPr>
          <w:rFonts w:hint="eastAsia"/>
        </w:rPr>
        <w:t>ACK message for command response in A-IoT Msg2. If the device pends execution of the command until reception of response ACK, it is ensured that the command is executed only when A-IoT Msg1 is successfully received by the reader.</w:t>
      </w:r>
    </w:p>
    <w:p w14:paraId="0113D162" w14:textId="350DD266" w:rsidR="00644543" w:rsidRDefault="00644543" w:rsidP="00F50E71">
      <w:r>
        <w:rPr>
          <w:noProof/>
        </w:rPr>
        <w:drawing>
          <wp:inline distT="0" distB="0" distL="0" distR="0" wp14:anchorId="453D6539" wp14:editId="78592964">
            <wp:extent cx="6075045" cy="2377009"/>
            <wp:effectExtent l="0" t="0" r="1905" b="4445"/>
            <wp:docPr id="123365469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383" cy="2381445"/>
                    </a:xfrm>
                    <a:prstGeom prst="rect">
                      <a:avLst/>
                    </a:prstGeom>
                    <a:noFill/>
                    <a:ln>
                      <a:noFill/>
                    </a:ln>
                  </pic:spPr>
                </pic:pic>
              </a:graphicData>
            </a:graphic>
          </wp:inline>
        </w:drawing>
      </w:r>
    </w:p>
    <w:p w14:paraId="00A11E5D" w14:textId="514DA9E7" w:rsidR="00644543" w:rsidRPr="00644543" w:rsidRDefault="00644543" w:rsidP="00644543">
      <w:pPr>
        <w:jc w:val="center"/>
        <w:rPr>
          <w:b/>
          <w:bCs/>
        </w:rPr>
      </w:pPr>
      <w:r w:rsidRPr="00644543">
        <w:rPr>
          <w:rFonts w:hint="eastAsia"/>
          <w:b/>
          <w:bCs/>
        </w:rPr>
        <w:t>Figure 2. Procedures when Msg1 is successfully received (left) and failed (right).</w:t>
      </w:r>
    </w:p>
    <w:p w14:paraId="3863A621" w14:textId="77777777" w:rsidR="00644543" w:rsidRDefault="00644543" w:rsidP="00F50E71"/>
    <w:p w14:paraId="6C4870B7" w14:textId="531D270F" w:rsidR="0082734E" w:rsidRDefault="0082734E" w:rsidP="00F44DE3">
      <w:pPr>
        <w:pStyle w:val="ObservationandProposal"/>
      </w:pPr>
      <w:r>
        <w:rPr>
          <w:rFonts w:hint="eastAsia"/>
        </w:rPr>
        <w:lastRenderedPageBreak/>
        <w:t>Proposal 2.</w:t>
      </w:r>
      <w:r>
        <w:tab/>
      </w:r>
      <w:r>
        <w:rPr>
          <w:rFonts w:hint="eastAsia"/>
        </w:rPr>
        <w:t xml:space="preserve">When Ambient IoT reader </w:t>
      </w:r>
      <w:r w:rsidR="00B77D74">
        <w:rPr>
          <w:rFonts w:hint="eastAsia"/>
        </w:rPr>
        <w:t>receives Msg1 for 2-step CBRA from Ambient IoT device that was indicated write command in A-IoT paging message, the reader transmits Msg2</w:t>
      </w:r>
      <w:r w:rsidR="00B77D74" w:rsidRPr="00B77D74">
        <w:rPr>
          <w:rFonts w:hint="eastAsia"/>
        </w:rPr>
        <w:t xml:space="preserve"> </w:t>
      </w:r>
      <w:r w:rsidR="00B77D74">
        <w:rPr>
          <w:rFonts w:hint="eastAsia"/>
        </w:rPr>
        <w:t>to the device for ACK. The device does not conduct the write command until receiving Msg2 for ACK.</w:t>
      </w:r>
    </w:p>
    <w:p w14:paraId="499E2EFD" w14:textId="63F22274" w:rsidR="00A9226F" w:rsidRPr="0083168F" w:rsidRDefault="00A9226F" w:rsidP="007E2FC8">
      <w:pPr>
        <w:rPr>
          <w:bCs/>
          <w:szCs w:val="22"/>
        </w:rPr>
      </w:pPr>
    </w:p>
    <w:p w14:paraId="622B372B" w14:textId="319836C4" w:rsidR="007E2FC8" w:rsidRDefault="005736FB" w:rsidP="00344C2D">
      <w:pPr>
        <w:pStyle w:val="2"/>
        <w:numPr>
          <w:ilvl w:val="1"/>
          <w:numId w:val="2"/>
        </w:numPr>
        <w:rPr>
          <w:rFonts w:cs="Arial"/>
        </w:rPr>
      </w:pPr>
      <w:r>
        <w:rPr>
          <w:rFonts w:cs="Arial" w:hint="eastAsia"/>
        </w:rPr>
        <w:t>Capability of supported random access schemes</w:t>
      </w:r>
    </w:p>
    <w:p w14:paraId="3C50AFC7" w14:textId="5020CA66" w:rsidR="005B7202" w:rsidRDefault="005B7202" w:rsidP="005B7202">
      <w:r>
        <w:rPr>
          <w:rFonts w:hint="eastAsia"/>
        </w:rPr>
        <w:t>Considering agreements on detailed procedures of 4-step RA, 2-step CBRA and contention-free access, after the Ambient IoT device receives an A-IoT paging message, contents and timing of the first message sent by the device are different as following way.</w:t>
      </w:r>
    </w:p>
    <w:p w14:paraId="7E7428CD" w14:textId="77777777" w:rsidR="005B7202" w:rsidRDefault="005B7202" w:rsidP="005B7202">
      <w:pPr>
        <w:pStyle w:val="ab"/>
        <w:numPr>
          <w:ilvl w:val="0"/>
          <w:numId w:val="13"/>
        </w:numPr>
        <w:ind w:leftChars="0"/>
      </w:pPr>
      <w:r>
        <w:rPr>
          <w:rFonts w:hint="eastAsia"/>
        </w:rPr>
        <w:t>In 4-step RA, the device sends A-IoT Msg1 containing a random ID generated by the device at a transmission occasion randomly selected by the device.</w:t>
      </w:r>
    </w:p>
    <w:p w14:paraId="494E3390" w14:textId="77777777" w:rsidR="005B7202" w:rsidRDefault="005B7202" w:rsidP="005B7202">
      <w:pPr>
        <w:pStyle w:val="ab"/>
        <w:numPr>
          <w:ilvl w:val="0"/>
          <w:numId w:val="13"/>
        </w:numPr>
        <w:ind w:leftChars="0"/>
      </w:pPr>
      <w:r>
        <w:rPr>
          <w:rFonts w:hint="eastAsia"/>
        </w:rPr>
        <w:t>In 2-step CBRA, the device sends A-IoT Msg1 containing upper layer data at a transmission occasion randomly selected by the device.</w:t>
      </w:r>
    </w:p>
    <w:p w14:paraId="581CF526" w14:textId="77777777" w:rsidR="005B7202" w:rsidRDefault="005B7202" w:rsidP="005B7202">
      <w:pPr>
        <w:pStyle w:val="ab"/>
        <w:numPr>
          <w:ilvl w:val="0"/>
          <w:numId w:val="13"/>
        </w:numPr>
        <w:ind w:leftChars="0"/>
      </w:pPr>
      <w:r>
        <w:rPr>
          <w:rFonts w:hint="eastAsia"/>
        </w:rPr>
        <w:t>In contention-free access, the device sends a message (FFS contents) at a transmission occasion designated by the network.</w:t>
      </w:r>
    </w:p>
    <w:p w14:paraId="5917FE6E" w14:textId="4C60A405" w:rsidR="005B7202" w:rsidRDefault="005B7202" w:rsidP="007E2FC8">
      <w:pPr>
        <w:rPr>
          <w:szCs w:val="22"/>
        </w:rPr>
      </w:pPr>
      <w:r>
        <w:rPr>
          <w:rFonts w:hint="eastAsia"/>
          <w:szCs w:val="22"/>
        </w:rPr>
        <w:t xml:space="preserve">Therefore, if a device supports all A-IoT random access schemes, the device determines the contents and timing of the Msg1 considering indication in the A-IoT paging message. However, considering the intention of Ambient IoT system, we believe that the implementation of devices </w:t>
      </w:r>
      <w:r w:rsidR="000D3D97">
        <w:rPr>
          <w:rFonts w:hint="eastAsia"/>
          <w:szCs w:val="22"/>
        </w:rPr>
        <w:t>aiming at</w:t>
      </w:r>
      <w:r>
        <w:rPr>
          <w:rFonts w:hint="eastAsia"/>
          <w:szCs w:val="22"/>
        </w:rPr>
        <w:t xml:space="preserve"> supporting the minimal </w:t>
      </w:r>
      <w:r>
        <w:rPr>
          <w:szCs w:val="22"/>
        </w:rPr>
        <w:t>number</w:t>
      </w:r>
      <w:r>
        <w:rPr>
          <w:rFonts w:hint="eastAsia"/>
          <w:szCs w:val="22"/>
        </w:rPr>
        <w:t xml:space="preserve"> of functionalities should be allowed. Then the device capability message to report supported random access schemes should be introduced in order for the network to determine what to indicate in A-IoT paging message.</w:t>
      </w:r>
    </w:p>
    <w:p w14:paraId="4E8BE847" w14:textId="7D10DDF0" w:rsidR="00E36A3B" w:rsidRDefault="00E36A3B" w:rsidP="00E36A3B">
      <w:pPr>
        <w:pStyle w:val="ObservationandProposal"/>
      </w:pPr>
      <w:r>
        <w:rPr>
          <w:rFonts w:hint="eastAsia"/>
        </w:rPr>
        <w:t xml:space="preserve">Observation </w:t>
      </w:r>
      <w:r w:rsidR="00981C0E">
        <w:rPr>
          <w:rFonts w:hint="eastAsia"/>
        </w:rPr>
        <w:t>5</w:t>
      </w:r>
      <w:r>
        <w:rPr>
          <w:rFonts w:hint="eastAsia"/>
        </w:rPr>
        <w:t>.</w:t>
      </w:r>
      <w:r>
        <w:tab/>
      </w:r>
      <w:r>
        <w:rPr>
          <w:rFonts w:hint="eastAsia"/>
        </w:rPr>
        <w:t xml:space="preserve">Since Ambient IoT </w:t>
      </w:r>
      <w:r w:rsidR="003E2C2D">
        <w:rPr>
          <w:rFonts w:hint="eastAsia"/>
        </w:rPr>
        <w:t>system aims at the least complexity of device implementation, it should be allowed for some Ambient IoT devices to support only a part of random access schemes: 4-step RA, 2-step CBRA, or contention-free access.</w:t>
      </w:r>
    </w:p>
    <w:p w14:paraId="4CAFCEB4" w14:textId="49A5163E" w:rsidR="00E36A3B" w:rsidRDefault="003E2C2D" w:rsidP="00E36A3B">
      <w:pPr>
        <w:pStyle w:val="ObservationandProposal"/>
      </w:pPr>
      <w:r>
        <w:rPr>
          <w:rFonts w:hint="eastAsia"/>
        </w:rPr>
        <w:t xml:space="preserve">Proposal </w:t>
      </w:r>
      <w:r w:rsidR="00981C0E">
        <w:rPr>
          <w:rFonts w:hint="eastAsia"/>
        </w:rPr>
        <w:t>3</w:t>
      </w:r>
      <w:r>
        <w:rPr>
          <w:rFonts w:hint="eastAsia"/>
        </w:rPr>
        <w:t>.</w:t>
      </w:r>
      <w:r>
        <w:tab/>
      </w:r>
      <w:r>
        <w:rPr>
          <w:rFonts w:hint="eastAsia"/>
        </w:rPr>
        <w:t>A-IoT device capability message, which is to report supported random access schemes, is introduced.</w:t>
      </w:r>
    </w:p>
    <w:p w14:paraId="67580052" w14:textId="77777777" w:rsidR="00F2584E" w:rsidRPr="00262F8E" w:rsidRDefault="00F2584E" w:rsidP="007E2FC8">
      <w:pPr>
        <w:rPr>
          <w:szCs w:val="22"/>
        </w:rPr>
      </w:pPr>
    </w:p>
    <w:p w14:paraId="56E25677" w14:textId="77777777" w:rsidR="007E2FC8" w:rsidRDefault="007E2FC8" w:rsidP="00344C2D">
      <w:pPr>
        <w:pStyle w:val="2"/>
        <w:numPr>
          <w:ilvl w:val="0"/>
          <w:numId w:val="2"/>
        </w:numPr>
      </w:pPr>
      <w:r>
        <w:rPr>
          <w:rFonts w:hint="eastAsia"/>
        </w:rPr>
        <w:t>Summary and proposal</w:t>
      </w:r>
    </w:p>
    <w:p w14:paraId="54D87170" w14:textId="77777777" w:rsidR="00AD2E98" w:rsidRDefault="00AD2E98" w:rsidP="00AD2E98">
      <w:pPr>
        <w:pStyle w:val="ObservationandProposal"/>
      </w:pPr>
      <w:r>
        <w:rPr>
          <w:rFonts w:hint="eastAsia"/>
        </w:rPr>
        <w:t>Observation 1.</w:t>
      </w:r>
      <w:r>
        <w:tab/>
      </w:r>
      <w:r>
        <w:rPr>
          <w:rFonts w:hint="eastAsia"/>
        </w:rPr>
        <w:t>RAN2 already assumes that the size of random ID in A-IoT Msg1 is large enough for contention resolution purpose, which implies no more enhancement to ensure not to collide random ID between different devices is needed.</w:t>
      </w:r>
    </w:p>
    <w:p w14:paraId="7B157188" w14:textId="77777777" w:rsidR="00AD2E98" w:rsidRDefault="00AD2E98" w:rsidP="00AD2E98">
      <w:pPr>
        <w:pStyle w:val="ObservationandProposal"/>
      </w:pPr>
      <w:r>
        <w:rPr>
          <w:rFonts w:hint="eastAsia"/>
        </w:rPr>
        <w:t>Observation 2.</w:t>
      </w:r>
      <w:r>
        <w:tab/>
      </w:r>
      <w:r>
        <w:rPr>
          <w:rFonts w:hint="eastAsia"/>
        </w:rPr>
        <w:t>Device ID is not agreed to be sent in A-IoT Msg1 since it causes a security issue to transmit a permanent device ID in an unprotected message.</w:t>
      </w:r>
    </w:p>
    <w:p w14:paraId="00B173EF" w14:textId="77777777" w:rsidR="00AD2E98" w:rsidRDefault="00AD2E98" w:rsidP="00AD2E98">
      <w:pPr>
        <w:pStyle w:val="ObservationandProposal"/>
      </w:pPr>
      <w:r>
        <w:rPr>
          <w:rFonts w:hint="eastAsia"/>
        </w:rPr>
        <w:t>Proposal 1.</w:t>
      </w:r>
      <w:r>
        <w:tab/>
      </w:r>
      <w:r>
        <w:rPr>
          <w:rFonts w:hint="eastAsia"/>
        </w:rPr>
        <w:t>How to generate random ID to be sent in A-IoT Msg1 for 4-step RA is up to device implementation.</w:t>
      </w:r>
    </w:p>
    <w:p w14:paraId="39596254" w14:textId="77777777" w:rsidR="00AD2E98" w:rsidRDefault="00AD2E98" w:rsidP="00AD2E98">
      <w:pPr>
        <w:pStyle w:val="ObservationandProposal"/>
      </w:pPr>
      <w:r>
        <w:rPr>
          <w:rFonts w:hint="eastAsia"/>
        </w:rPr>
        <w:t>Observation 3.</w:t>
      </w:r>
      <w:r>
        <w:tab/>
      </w:r>
      <w:r>
        <w:rPr>
          <w:rFonts w:hint="eastAsia"/>
        </w:rPr>
        <w:t>When write command is indicated in A-IoT paging message, the possibility that the CN ends up failing to receive a response message from the device is not negligible due to weaker power of D2R backscattering transmission.</w:t>
      </w:r>
    </w:p>
    <w:p w14:paraId="351DF7D0" w14:textId="77777777" w:rsidR="00AD2E98" w:rsidRDefault="00AD2E98" w:rsidP="00AD2E98">
      <w:pPr>
        <w:pStyle w:val="ObservationandProposal"/>
      </w:pPr>
      <w:r>
        <w:rPr>
          <w:rFonts w:hint="eastAsia"/>
        </w:rPr>
        <w:t>Observation 4.</w:t>
      </w:r>
      <w:r>
        <w:tab/>
      </w:r>
      <w:r>
        <w:rPr>
          <w:rFonts w:hint="eastAsia"/>
        </w:rPr>
        <w:t xml:space="preserve">When the CN does not receive write command </w:t>
      </w:r>
      <w:r>
        <w:t>respons</w:t>
      </w:r>
      <w:r>
        <w:rPr>
          <w:rFonts w:hint="eastAsia"/>
        </w:rPr>
        <w:t>e from Ambient IoT device while the device completes write command, the misunderstanding appears which may affect application layer.</w:t>
      </w:r>
    </w:p>
    <w:p w14:paraId="1BE00D73" w14:textId="77777777" w:rsidR="00AD2E98" w:rsidRDefault="00AD2E98" w:rsidP="00AD2E98">
      <w:pPr>
        <w:pStyle w:val="ObservationandProposal"/>
      </w:pPr>
      <w:r>
        <w:rPr>
          <w:rFonts w:hint="eastAsia"/>
        </w:rPr>
        <w:t>Proposal 2.</w:t>
      </w:r>
      <w:r>
        <w:tab/>
      </w:r>
      <w:r>
        <w:rPr>
          <w:rFonts w:hint="eastAsia"/>
        </w:rPr>
        <w:t xml:space="preserve">When Ambient IoT reader receives Msg1 for 2-step CBRA from Ambient IoT device that was indicated write command in A-IoT paging message, the reader </w:t>
      </w:r>
      <w:r>
        <w:rPr>
          <w:rFonts w:hint="eastAsia"/>
        </w:rPr>
        <w:lastRenderedPageBreak/>
        <w:t>transmits Msg2</w:t>
      </w:r>
      <w:r w:rsidRPr="00B77D74">
        <w:rPr>
          <w:rFonts w:hint="eastAsia"/>
        </w:rPr>
        <w:t xml:space="preserve"> </w:t>
      </w:r>
      <w:r>
        <w:rPr>
          <w:rFonts w:hint="eastAsia"/>
        </w:rPr>
        <w:t>to the device for ACK. The device does not conduct the write command until receiving Msg2 for ACK.</w:t>
      </w:r>
    </w:p>
    <w:p w14:paraId="3C72444C" w14:textId="77777777" w:rsidR="00AD2E98" w:rsidRDefault="00AD2E98" w:rsidP="00AD2E98">
      <w:pPr>
        <w:pStyle w:val="ObservationandProposal"/>
      </w:pPr>
      <w:r>
        <w:rPr>
          <w:rFonts w:hint="eastAsia"/>
        </w:rPr>
        <w:t>Observation 5.</w:t>
      </w:r>
      <w:r>
        <w:tab/>
      </w:r>
      <w:r>
        <w:rPr>
          <w:rFonts w:hint="eastAsia"/>
        </w:rPr>
        <w:t>Since Ambient IoT system aims at the least complexity of device implementation, it should be allowed for some Ambient IoT devices to support only a part of random access schemes: 4-step RA, 2-step CBRA, or contention-free access.</w:t>
      </w:r>
    </w:p>
    <w:p w14:paraId="06B2F353" w14:textId="77777777" w:rsidR="00AD2E98" w:rsidRDefault="00AD2E98" w:rsidP="00AD2E98">
      <w:pPr>
        <w:pStyle w:val="ObservationandProposal"/>
      </w:pPr>
      <w:r>
        <w:rPr>
          <w:rFonts w:hint="eastAsia"/>
        </w:rPr>
        <w:t>Proposal 3.</w:t>
      </w:r>
      <w:r>
        <w:tab/>
      </w:r>
      <w:r>
        <w:rPr>
          <w:rFonts w:hint="eastAsia"/>
        </w:rPr>
        <w:t>A-IoT device capability message, which is to report supported random access schemes, is introduced.</w:t>
      </w:r>
    </w:p>
    <w:p w14:paraId="021FD226" w14:textId="77777777" w:rsidR="00C97CFC" w:rsidRPr="00262F8E" w:rsidRDefault="00C97CFC" w:rsidP="007E2FC8">
      <w:pPr>
        <w:rPr>
          <w:szCs w:val="22"/>
        </w:rPr>
      </w:pPr>
    </w:p>
    <w:p w14:paraId="19CDB79A" w14:textId="77777777" w:rsidR="007E2FC8" w:rsidRPr="00863065" w:rsidRDefault="007E2FC8" w:rsidP="00344C2D">
      <w:pPr>
        <w:pStyle w:val="2"/>
        <w:numPr>
          <w:ilvl w:val="0"/>
          <w:numId w:val="2"/>
        </w:numPr>
        <w:rPr>
          <w:rFonts w:cs="Arial"/>
        </w:rPr>
      </w:pPr>
      <w:r w:rsidRPr="00863065">
        <w:rPr>
          <w:rFonts w:cs="Arial"/>
        </w:rPr>
        <w:t>Reference</w:t>
      </w:r>
      <w:r>
        <w:rPr>
          <w:rFonts w:cs="Arial" w:hint="eastAsia"/>
        </w:rPr>
        <w:t>s</w:t>
      </w:r>
    </w:p>
    <w:p w14:paraId="3D4276C4" w14:textId="77777777" w:rsidR="00FE72DA" w:rsidRDefault="00FE72DA" w:rsidP="00FE72DA">
      <w:pPr>
        <w:pStyle w:val="Reference"/>
      </w:pPr>
      <w:r>
        <w:rPr>
          <w:rFonts w:hint="eastAsia"/>
        </w:rPr>
        <w:t>[1]</w:t>
      </w:r>
      <w:r>
        <w:tab/>
      </w:r>
      <w:r>
        <w:rPr>
          <w:rFonts w:hint="eastAsia"/>
        </w:rPr>
        <w:t>Chair notes, RAN2#126.</w:t>
      </w:r>
    </w:p>
    <w:p w14:paraId="6065DE65" w14:textId="77777777" w:rsidR="00FE72DA" w:rsidRPr="00262F8E" w:rsidRDefault="00FE72DA" w:rsidP="00FE72DA">
      <w:pPr>
        <w:pStyle w:val="Reference"/>
      </w:pPr>
    </w:p>
    <w:p w14:paraId="2A41E6DD" w14:textId="77777777" w:rsidR="00FE72DA" w:rsidRPr="00262F8E" w:rsidRDefault="00FE72DA">
      <w:pPr>
        <w:rPr>
          <w:szCs w:val="22"/>
        </w:rPr>
      </w:pPr>
    </w:p>
    <w:sectPr w:rsidR="00FE72DA"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4C383" w14:textId="77777777" w:rsidR="00EE03C6" w:rsidRDefault="00EE03C6" w:rsidP="007E2FC8">
      <w:pPr>
        <w:spacing w:after="0"/>
      </w:pPr>
      <w:r>
        <w:separator/>
      </w:r>
    </w:p>
    <w:p w14:paraId="6F3D62FC" w14:textId="77777777" w:rsidR="00EE03C6" w:rsidRDefault="00EE03C6"/>
    <w:p w14:paraId="210B5B0E" w14:textId="77777777" w:rsidR="00EE03C6" w:rsidRDefault="00EE03C6" w:rsidP="00273403"/>
  </w:endnote>
  <w:endnote w:type="continuationSeparator" w:id="0">
    <w:p w14:paraId="5C53E46E" w14:textId="77777777" w:rsidR="00EE03C6" w:rsidRDefault="00EE03C6" w:rsidP="007E2FC8">
      <w:pPr>
        <w:spacing w:after="0"/>
      </w:pPr>
      <w:r>
        <w:continuationSeparator/>
      </w:r>
    </w:p>
    <w:p w14:paraId="196F32F2" w14:textId="77777777" w:rsidR="00EE03C6" w:rsidRDefault="00EE03C6"/>
    <w:p w14:paraId="5A021F5E" w14:textId="77777777" w:rsidR="00EE03C6" w:rsidRDefault="00EE03C6"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EAD16" w14:textId="77777777" w:rsidR="00EE03C6" w:rsidRDefault="00EE03C6" w:rsidP="007E2FC8">
      <w:pPr>
        <w:spacing w:after="0"/>
      </w:pPr>
      <w:r>
        <w:separator/>
      </w:r>
    </w:p>
    <w:p w14:paraId="73930A5C" w14:textId="77777777" w:rsidR="00EE03C6" w:rsidRDefault="00EE03C6"/>
    <w:p w14:paraId="6B01531F" w14:textId="77777777" w:rsidR="00EE03C6" w:rsidRDefault="00EE03C6" w:rsidP="00273403"/>
  </w:footnote>
  <w:footnote w:type="continuationSeparator" w:id="0">
    <w:p w14:paraId="76D5EB53" w14:textId="77777777" w:rsidR="00EE03C6" w:rsidRDefault="00EE03C6" w:rsidP="007E2FC8">
      <w:pPr>
        <w:spacing w:after="0"/>
      </w:pPr>
      <w:r>
        <w:continuationSeparator/>
      </w:r>
    </w:p>
    <w:p w14:paraId="07B1C34C" w14:textId="77777777" w:rsidR="00EE03C6" w:rsidRDefault="00EE03C6"/>
    <w:p w14:paraId="499DDCB4" w14:textId="77777777" w:rsidR="00EE03C6" w:rsidRDefault="00EE03C6"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4A148E"/>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E725D77"/>
    <w:multiLevelType w:val="hybridMultilevel"/>
    <w:tmpl w:val="E278DC28"/>
    <w:lvl w:ilvl="0" w:tplc="F97C9F0C">
      <w:start w:val="4"/>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FC7661B"/>
    <w:multiLevelType w:val="hybridMultilevel"/>
    <w:tmpl w:val="E278DC28"/>
    <w:lvl w:ilvl="0" w:tplc="FFFFFFFF">
      <w:start w:val="4"/>
      <w:numFmt w:val="decimal"/>
      <w:lvlText w:val="%1"/>
      <w:lvlJc w:val="left"/>
      <w:pPr>
        <w:ind w:left="1619"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8E1594C"/>
    <w:multiLevelType w:val="hybridMultilevel"/>
    <w:tmpl w:val="613479B2"/>
    <w:lvl w:ilvl="0" w:tplc="8DB018E4">
      <w:start w:val="3"/>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968174E"/>
    <w:multiLevelType w:val="hybridMultilevel"/>
    <w:tmpl w:val="C2DE701A"/>
    <w:lvl w:ilvl="0" w:tplc="AF221D06">
      <w:start w:val="9"/>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2847168"/>
    <w:multiLevelType w:val="hybridMultilevel"/>
    <w:tmpl w:val="BE32F798"/>
    <w:lvl w:ilvl="0" w:tplc="F97C9F0C">
      <w:start w:val="1"/>
      <w:numFmt w:val="decimal"/>
      <w:lvlText w:val="%1"/>
      <w:lvlJc w:val="left"/>
      <w:pPr>
        <w:ind w:left="1619" w:hanging="360"/>
      </w:pPr>
      <w:rPr>
        <w:rFonts w:eastAsia="Times New Roman"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2"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6942341">
    <w:abstractNumId w:val="10"/>
  </w:num>
  <w:num w:numId="2" w16cid:durableId="1916432099">
    <w:abstractNumId w:val="8"/>
  </w:num>
  <w:num w:numId="3" w16cid:durableId="961111639">
    <w:abstractNumId w:val="9"/>
  </w:num>
  <w:num w:numId="4" w16cid:durableId="1589534433">
    <w:abstractNumId w:val="5"/>
  </w:num>
  <w:num w:numId="5" w16cid:durableId="891041236">
    <w:abstractNumId w:val="0"/>
    <w:lvlOverride w:ilvl="0">
      <w:startOverride w:val="1"/>
    </w:lvlOverride>
  </w:num>
  <w:num w:numId="6" w16cid:durableId="2012752785">
    <w:abstractNumId w:val="12"/>
    <w:lvlOverride w:ilvl="0">
      <w:startOverride w:val="5"/>
    </w:lvlOverride>
  </w:num>
  <w:num w:numId="7" w16cid:durableId="321663354">
    <w:abstractNumId w:val="7"/>
  </w:num>
  <w:num w:numId="8" w16cid:durableId="1933002815">
    <w:abstractNumId w:val="11"/>
  </w:num>
  <w:num w:numId="9" w16cid:durableId="457338580">
    <w:abstractNumId w:val="2"/>
  </w:num>
  <w:num w:numId="10" w16cid:durableId="314459618">
    <w:abstractNumId w:val="3"/>
  </w:num>
  <w:num w:numId="11" w16cid:durableId="1917592888">
    <w:abstractNumId w:val="4"/>
  </w:num>
  <w:num w:numId="12" w16cid:durableId="1118111100">
    <w:abstractNumId w:val="1"/>
  </w:num>
  <w:num w:numId="13" w16cid:durableId="16371007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05028"/>
    <w:rsid w:val="000350DB"/>
    <w:rsid w:val="00055777"/>
    <w:rsid w:val="000B1366"/>
    <w:rsid w:val="000B609E"/>
    <w:rsid w:val="000B6616"/>
    <w:rsid w:val="000C6A06"/>
    <w:rsid w:val="000D3D97"/>
    <w:rsid w:val="000E1585"/>
    <w:rsid w:val="000E691F"/>
    <w:rsid w:val="00121480"/>
    <w:rsid w:val="00131230"/>
    <w:rsid w:val="001376E5"/>
    <w:rsid w:val="0015049C"/>
    <w:rsid w:val="0015598E"/>
    <w:rsid w:val="001F27AA"/>
    <w:rsid w:val="002315B7"/>
    <w:rsid w:val="00243C5C"/>
    <w:rsid w:val="00262F8E"/>
    <w:rsid w:val="0026467A"/>
    <w:rsid w:val="00273403"/>
    <w:rsid w:val="002B674A"/>
    <w:rsid w:val="002C1350"/>
    <w:rsid w:val="00311352"/>
    <w:rsid w:val="00321874"/>
    <w:rsid w:val="00344C2D"/>
    <w:rsid w:val="00385B37"/>
    <w:rsid w:val="003965B3"/>
    <w:rsid w:val="003A1971"/>
    <w:rsid w:val="003B1ED1"/>
    <w:rsid w:val="003C271A"/>
    <w:rsid w:val="003E2C2D"/>
    <w:rsid w:val="00403E3D"/>
    <w:rsid w:val="004064C3"/>
    <w:rsid w:val="00407577"/>
    <w:rsid w:val="00435081"/>
    <w:rsid w:val="00452602"/>
    <w:rsid w:val="00485A0F"/>
    <w:rsid w:val="004A3CEE"/>
    <w:rsid w:val="004B2329"/>
    <w:rsid w:val="004D1B48"/>
    <w:rsid w:val="004E6B03"/>
    <w:rsid w:val="004F3F9D"/>
    <w:rsid w:val="004F6390"/>
    <w:rsid w:val="00506F4F"/>
    <w:rsid w:val="00537958"/>
    <w:rsid w:val="005736FB"/>
    <w:rsid w:val="00574F29"/>
    <w:rsid w:val="005839E2"/>
    <w:rsid w:val="005857F6"/>
    <w:rsid w:val="005A218C"/>
    <w:rsid w:val="005B7202"/>
    <w:rsid w:val="005E0335"/>
    <w:rsid w:val="005F1EB4"/>
    <w:rsid w:val="005F73C8"/>
    <w:rsid w:val="006367B7"/>
    <w:rsid w:val="00644543"/>
    <w:rsid w:val="00684F66"/>
    <w:rsid w:val="006A1E0E"/>
    <w:rsid w:val="00710F23"/>
    <w:rsid w:val="007330CE"/>
    <w:rsid w:val="00740A90"/>
    <w:rsid w:val="00745CD4"/>
    <w:rsid w:val="007502D2"/>
    <w:rsid w:val="007614CE"/>
    <w:rsid w:val="00780551"/>
    <w:rsid w:val="007975BB"/>
    <w:rsid w:val="007E239A"/>
    <w:rsid w:val="007E2FC8"/>
    <w:rsid w:val="00813CA1"/>
    <w:rsid w:val="0082734E"/>
    <w:rsid w:val="0083168F"/>
    <w:rsid w:val="0084055F"/>
    <w:rsid w:val="00873DF3"/>
    <w:rsid w:val="00896DC7"/>
    <w:rsid w:val="008B7141"/>
    <w:rsid w:val="008B7C4B"/>
    <w:rsid w:val="008C2D47"/>
    <w:rsid w:val="008E5A66"/>
    <w:rsid w:val="00903130"/>
    <w:rsid w:val="00911F16"/>
    <w:rsid w:val="0092515C"/>
    <w:rsid w:val="00936FCA"/>
    <w:rsid w:val="0094262D"/>
    <w:rsid w:val="00981C0E"/>
    <w:rsid w:val="00982FE2"/>
    <w:rsid w:val="00984A2A"/>
    <w:rsid w:val="00991F61"/>
    <w:rsid w:val="009B2C7C"/>
    <w:rsid w:val="00A32033"/>
    <w:rsid w:val="00A76BF5"/>
    <w:rsid w:val="00A86D76"/>
    <w:rsid w:val="00A9226F"/>
    <w:rsid w:val="00AA698C"/>
    <w:rsid w:val="00AB422A"/>
    <w:rsid w:val="00AD2E98"/>
    <w:rsid w:val="00AD6D1C"/>
    <w:rsid w:val="00B17374"/>
    <w:rsid w:val="00B2348A"/>
    <w:rsid w:val="00B329A1"/>
    <w:rsid w:val="00B4764D"/>
    <w:rsid w:val="00B6475F"/>
    <w:rsid w:val="00B77D74"/>
    <w:rsid w:val="00BA4097"/>
    <w:rsid w:val="00C97812"/>
    <w:rsid w:val="00C97CFC"/>
    <w:rsid w:val="00CA179F"/>
    <w:rsid w:val="00CB039C"/>
    <w:rsid w:val="00CE3477"/>
    <w:rsid w:val="00D40190"/>
    <w:rsid w:val="00D8679B"/>
    <w:rsid w:val="00D94041"/>
    <w:rsid w:val="00DB4A49"/>
    <w:rsid w:val="00DB76B3"/>
    <w:rsid w:val="00DD2104"/>
    <w:rsid w:val="00DE6140"/>
    <w:rsid w:val="00DF134B"/>
    <w:rsid w:val="00E2631E"/>
    <w:rsid w:val="00E36A3B"/>
    <w:rsid w:val="00E404EA"/>
    <w:rsid w:val="00E45013"/>
    <w:rsid w:val="00E50D30"/>
    <w:rsid w:val="00E638ED"/>
    <w:rsid w:val="00EB1AD1"/>
    <w:rsid w:val="00EE03C6"/>
    <w:rsid w:val="00EE79AE"/>
    <w:rsid w:val="00EF0EE8"/>
    <w:rsid w:val="00F2584E"/>
    <w:rsid w:val="00F34514"/>
    <w:rsid w:val="00F44DE3"/>
    <w:rsid w:val="00F50E71"/>
    <w:rsid w:val="00F560E5"/>
    <w:rsid w:val="00F62D63"/>
    <w:rsid w:val="00F825CF"/>
    <w:rsid w:val="00F827F3"/>
    <w:rsid w:val="00FE7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aliases w:val="TableGrid,网格型"/>
    <w:basedOn w:val="a1"/>
    <w:qFormat/>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82FE2"/>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ac"/>
    <w:uiPriority w:val="34"/>
    <w:qFormat/>
    <w:rsid w:val="00982FE2"/>
    <w:pPr>
      <w:ind w:leftChars="400" w:left="840"/>
    </w:pPr>
  </w:style>
  <w:style w:type="paragraph" w:customStyle="1" w:styleId="Doc-text2">
    <w:name w:val="Doc-text2"/>
    <w:basedOn w:val="a"/>
    <w:link w:val="Doc-text2Char"/>
    <w:qFormat/>
    <w:rsid w:val="00131230"/>
    <w:pPr>
      <w:tabs>
        <w:tab w:val="left" w:pos="1622"/>
      </w:tabs>
      <w:overflowPunct w:val="0"/>
      <w:autoSpaceDE w:val="0"/>
      <w:autoSpaceDN w:val="0"/>
      <w:adjustRightInd w:val="0"/>
      <w:spacing w:after="0"/>
      <w:ind w:left="1622" w:hanging="363"/>
      <w:textAlignment w:val="baseline"/>
    </w:pPr>
    <w:rPr>
      <w:rFonts w:eastAsia="Times New Roman" w:cs="Times New Roman"/>
      <w:sz w:val="20"/>
      <w:lang w:val="en-GB"/>
    </w:rPr>
  </w:style>
  <w:style w:type="character" w:customStyle="1" w:styleId="Doc-text2Char">
    <w:name w:val="Doc-text2 Char"/>
    <w:link w:val="Doc-text2"/>
    <w:qFormat/>
    <w:rsid w:val="00131230"/>
    <w:rPr>
      <w:rFonts w:eastAsia="Times New Roman" w:cs="Times New Roman"/>
      <w:sz w:val="20"/>
      <w:lang w:val="en-GB"/>
    </w:r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rsid w:val="00B77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5</Pages>
  <Words>1710</Words>
  <Characters>9753</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63</cp:revision>
  <dcterms:created xsi:type="dcterms:W3CDTF">2021-10-20T07:13:00Z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